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72873" w:rsidRDefault="00172873" w:rsidP="004E343D">
      <w:pPr>
        <w:pStyle w:val="NormalWeb"/>
        <w:spacing w:line="560" w:lineRule="exact"/>
        <w:jc w:val="center"/>
        <w:rPr>
          <w:b/>
          <w:sz w:val="36"/>
          <w:szCs w:val="36"/>
        </w:rPr>
      </w:pPr>
      <w:r>
        <w:rPr>
          <w:rFonts w:hint="eastAsia"/>
          <w:b/>
          <w:sz w:val="36"/>
          <w:szCs w:val="36"/>
        </w:rPr>
        <w:t>《</w:t>
      </w:r>
      <w:r w:rsidRPr="00257045">
        <w:rPr>
          <w:rFonts w:hint="eastAsia"/>
          <w:b/>
          <w:sz w:val="36"/>
          <w:szCs w:val="36"/>
        </w:rPr>
        <w:t>关于审理非法集资刑事案件具体应用法律若干问题的解释》有关非法吸收公众存款罪</w:t>
      </w:r>
      <w:r>
        <w:rPr>
          <w:rFonts w:hint="eastAsia"/>
          <w:b/>
          <w:sz w:val="36"/>
          <w:szCs w:val="36"/>
        </w:rPr>
        <w:t>构成要件</w:t>
      </w:r>
    </w:p>
    <w:p w:rsidR="00172873" w:rsidRPr="00257045" w:rsidRDefault="00172873" w:rsidP="004E343D">
      <w:pPr>
        <w:pStyle w:val="NormalWeb"/>
        <w:spacing w:line="560" w:lineRule="exact"/>
        <w:jc w:val="center"/>
        <w:rPr>
          <w:b/>
          <w:sz w:val="36"/>
          <w:szCs w:val="36"/>
        </w:rPr>
      </w:pPr>
      <w:r>
        <w:rPr>
          <w:rFonts w:hint="eastAsia"/>
          <w:b/>
          <w:sz w:val="36"/>
          <w:szCs w:val="36"/>
        </w:rPr>
        <w:t>法理剖析</w:t>
      </w:r>
    </w:p>
    <w:p w:rsidR="00172873" w:rsidRPr="00257045" w:rsidRDefault="00172873" w:rsidP="004E343D">
      <w:pPr>
        <w:pStyle w:val="NormalWeb"/>
        <w:spacing w:line="560" w:lineRule="exact"/>
        <w:jc w:val="center"/>
        <w:rPr>
          <w:b/>
          <w:sz w:val="30"/>
          <w:szCs w:val="30"/>
        </w:rPr>
      </w:pPr>
      <w:r w:rsidRPr="00257045">
        <w:rPr>
          <w:b/>
          <w:sz w:val="30"/>
          <w:szCs w:val="30"/>
        </w:rPr>
        <w:t xml:space="preserve"> </w:t>
      </w:r>
      <w:r>
        <w:rPr>
          <w:b/>
          <w:sz w:val="30"/>
          <w:szCs w:val="30"/>
        </w:rPr>
        <w:t>——</w:t>
      </w:r>
      <w:r w:rsidRPr="00257045">
        <w:rPr>
          <w:rFonts w:hint="eastAsia"/>
          <w:b/>
          <w:sz w:val="30"/>
          <w:szCs w:val="30"/>
        </w:rPr>
        <w:t>“社会不特定对象和公开宣传”</w:t>
      </w:r>
      <w:r>
        <w:rPr>
          <w:rFonts w:hint="eastAsia"/>
          <w:b/>
          <w:sz w:val="30"/>
          <w:szCs w:val="30"/>
        </w:rPr>
        <w:t>的边界何在？</w:t>
      </w:r>
    </w:p>
    <w:p w:rsidR="00172873" w:rsidRPr="00C72B90" w:rsidRDefault="00172873" w:rsidP="008E1024">
      <w:pPr>
        <w:spacing w:line="560" w:lineRule="exact"/>
        <w:ind w:firstLineChars="200" w:firstLine="31680"/>
        <w:jc w:val="center"/>
        <w:rPr>
          <w:b/>
          <w:sz w:val="28"/>
          <w:szCs w:val="28"/>
        </w:rPr>
      </w:pPr>
      <w:r>
        <w:rPr>
          <w:b/>
          <w:sz w:val="28"/>
          <w:szCs w:val="28"/>
        </w:rPr>
        <w:t xml:space="preserve">        </w:t>
      </w:r>
    </w:p>
    <w:p w:rsidR="00172873" w:rsidRPr="00AE0F87" w:rsidRDefault="00172873" w:rsidP="004E343D">
      <w:pPr>
        <w:spacing w:line="560" w:lineRule="exact"/>
        <w:rPr>
          <w:rFonts w:ascii="仿宋" w:eastAsia="仿宋" w:hAnsi="仿宋"/>
          <w:sz w:val="30"/>
          <w:szCs w:val="30"/>
        </w:rPr>
      </w:pPr>
      <w:r w:rsidRPr="00AE0F87">
        <w:rPr>
          <w:rFonts w:ascii="仿宋" w:eastAsia="仿宋" w:hAnsi="仿宋" w:hint="eastAsia"/>
          <w:b/>
          <w:sz w:val="30"/>
          <w:szCs w:val="30"/>
        </w:rPr>
        <w:t>内容提要：</w:t>
      </w:r>
      <w:r w:rsidRPr="00AE0F87">
        <w:rPr>
          <w:rFonts w:ascii="仿宋" w:eastAsia="仿宋" w:hAnsi="仿宋" w:hint="eastAsia"/>
          <w:sz w:val="30"/>
          <w:szCs w:val="30"/>
        </w:rPr>
        <w:t>《最高人民法院关于审理非法集资刑事案件具体应用法律若干问题的解释》第一条规定，非法吸收（变相吸收）公众存款的行为同时具备四要件的，应当认定为刑法第一百七十六条规定的“非法吸收公众存款或者变相吸收公众存款”。司法实践中，各方对于第一要件和第三要件往往争议不大，而对于第二要件“通过媒体、推介会、传单、手机短信等途径向社会公开宣传”和第四要件“向社会公众即社会不特定对象吸收资金”存在极大争议，笔者因身处金融改革的前沿，深知浙江中小民营企业的发展亟需资金，而现实中金融机构却不能及时满足其需求，民间金融的发展已经远远落后于社会经济的发展，因此亟待立法层面的完善，此文结合笔者亲身经历的案例，针对上述司法解释的构罪要件予以深入评析，以求正本清源，厘清罪与非罪的界限，力求</w:t>
      </w:r>
      <w:r>
        <w:rPr>
          <w:rFonts w:ascii="仿宋" w:eastAsia="仿宋" w:hAnsi="仿宋" w:hint="eastAsia"/>
          <w:sz w:val="30"/>
          <w:szCs w:val="30"/>
        </w:rPr>
        <w:t>通过拙作为温州金融改革试验区的先行先试抛砖引玉，</w:t>
      </w:r>
      <w:r w:rsidRPr="00AE0F87">
        <w:rPr>
          <w:rFonts w:ascii="仿宋" w:eastAsia="仿宋" w:hAnsi="仿宋" w:hint="eastAsia"/>
          <w:sz w:val="30"/>
          <w:szCs w:val="30"/>
        </w:rPr>
        <w:t>呐喊</w:t>
      </w:r>
      <w:r>
        <w:rPr>
          <w:rFonts w:ascii="仿宋" w:eastAsia="仿宋" w:hAnsi="仿宋" w:hint="eastAsia"/>
          <w:sz w:val="30"/>
          <w:szCs w:val="30"/>
        </w:rPr>
        <w:t>助威</w:t>
      </w:r>
      <w:r w:rsidRPr="00AE0F87">
        <w:rPr>
          <w:rFonts w:ascii="仿宋" w:eastAsia="仿宋" w:hAnsi="仿宋" w:hint="eastAsia"/>
          <w:sz w:val="30"/>
          <w:szCs w:val="30"/>
        </w:rPr>
        <w:t>。</w:t>
      </w:r>
    </w:p>
    <w:p w:rsidR="00172873" w:rsidRPr="00AE0F87" w:rsidRDefault="00172873" w:rsidP="004E343D">
      <w:pPr>
        <w:spacing w:line="560" w:lineRule="exact"/>
        <w:rPr>
          <w:rFonts w:ascii="仿宋" w:eastAsia="仿宋" w:hAnsi="仿宋"/>
          <w:sz w:val="30"/>
          <w:szCs w:val="30"/>
        </w:rPr>
      </w:pPr>
    </w:p>
    <w:p w:rsidR="00172873" w:rsidRPr="00AE0F87" w:rsidRDefault="00172873" w:rsidP="004E343D">
      <w:pPr>
        <w:spacing w:line="560" w:lineRule="exact"/>
        <w:rPr>
          <w:rFonts w:ascii="仿宋" w:eastAsia="仿宋" w:hAnsi="仿宋"/>
          <w:sz w:val="30"/>
          <w:szCs w:val="30"/>
        </w:rPr>
      </w:pPr>
      <w:r w:rsidRPr="00AE0F87">
        <w:rPr>
          <w:rFonts w:ascii="仿宋" w:eastAsia="仿宋" w:hAnsi="仿宋" w:hint="eastAsia"/>
          <w:b/>
          <w:sz w:val="30"/>
          <w:szCs w:val="30"/>
        </w:rPr>
        <w:t>关键词：</w:t>
      </w:r>
      <w:r w:rsidRPr="00AE0F87">
        <w:rPr>
          <w:rFonts w:ascii="仿宋" w:eastAsia="仿宋" w:hAnsi="仿宋" w:hint="eastAsia"/>
          <w:sz w:val="30"/>
          <w:szCs w:val="30"/>
        </w:rPr>
        <w:t>非法吸收公众存款</w:t>
      </w:r>
      <w:r w:rsidRPr="00AE0F87">
        <w:rPr>
          <w:rFonts w:ascii="仿宋" w:eastAsia="仿宋" w:hAnsi="仿宋"/>
          <w:sz w:val="30"/>
          <w:szCs w:val="30"/>
        </w:rPr>
        <w:t xml:space="preserve">   </w:t>
      </w:r>
      <w:r w:rsidRPr="00AE0F87">
        <w:rPr>
          <w:rFonts w:ascii="仿宋" w:eastAsia="仿宋" w:hAnsi="仿宋" w:hint="eastAsia"/>
          <w:sz w:val="30"/>
          <w:szCs w:val="30"/>
        </w:rPr>
        <w:t>社会公众</w:t>
      </w:r>
      <w:r w:rsidRPr="00AE0F87">
        <w:rPr>
          <w:rFonts w:ascii="仿宋" w:eastAsia="仿宋" w:hAnsi="仿宋"/>
          <w:sz w:val="30"/>
          <w:szCs w:val="30"/>
        </w:rPr>
        <w:t xml:space="preserve">  </w:t>
      </w:r>
      <w:r w:rsidRPr="00AE0F87">
        <w:rPr>
          <w:rFonts w:ascii="仿宋" w:eastAsia="仿宋" w:hAnsi="仿宋" w:hint="eastAsia"/>
          <w:sz w:val="30"/>
          <w:szCs w:val="30"/>
        </w:rPr>
        <w:t>不特定对象</w:t>
      </w:r>
      <w:r w:rsidRPr="00AE0F87">
        <w:rPr>
          <w:rFonts w:ascii="仿宋" w:eastAsia="仿宋" w:hAnsi="仿宋"/>
          <w:sz w:val="30"/>
          <w:szCs w:val="30"/>
        </w:rPr>
        <w:t xml:space="preserve">  </w:t>
      </w:r>
      <w:r w:rsidRPr="00AE0F87">
        <w:rPr>
          <w:rFonts w:ascii="仿宋" w:eastAsia="仿宋" w:hAnsi="仿宋" w:hint="eastAsia"/>
          <w:sz w:val="30"/>
          <w:szCs w:val="30"/>
        </w:rPr>
        <w:t>公开宣传</w:t>
      </w:r>
    </w:p>
    <w:p w:rsidR="00172873" w:rsidRPr="00AE0F87" w:rsidRDefault="00172873" w:rsidP="004E343D">
      <w:pPr>
        <w:spacing w:line="560" w:lineRule="exact"/>
        <w:rPr>
          <w:rFonts w:ascii="仿宋" w:eastAsia="仿宋" w:hAnsi="仿宋"/>
          <w:sz w:val="30"/>
          <w:szCs w:val="30"/>
        </w:rPr>
      </w:pPr>
    </w:p>
    <w:p w:rsidR="00172873" w:rsidRPr="00AE0F87" w:rsidRDefault="00172873" w:rsidP="004E343D">
      <w:pPr>
        <w:spacing w:line="560" w:lineRule="exact"/>
        <w:rPr>
          <w:rFonts w:ascii="仿宋" w:eastAsia="仿宋" w:hAnsi="仿宋"/>
          <w:sz w:val="30"/>
          <w:szCs w:val="30"/>
        </w:rPr>
      </w:pPr>
      <w:r w:rsidRPr="00AE0F87">
        <w:rPr>
          <w:rFonts w:ascii="仿宋" w:eastAsia="仿宋" w:hAnsi="仿宋" w:hint="eastAsia"/>
          <w:b/>
          <w:sz w:val="30"/>
          <w:szCs w:val="30"/>
        </w:rPr>
        <w:t>案情介绍：</w:t>
      </w:r>
      <w:r w:rsidRPr="00AE0F87">
        <w:rPr>
          <w:rFonts w:ascii="仿宋" w:eastAsia="仿宋" w:hAnsi="仿宋" w:hint="eastAsia"/>
          <w:sz w:val="30"/>
          <w:szCs w:val="30"/>
        </w:rPr>
        <w:t>被告人秦某（女，</w:t>
      </w:r>
      <w:r w:rsidRPr="00AE0F87">
        <w:rPr>
          <w:rFonts w:ascii="仿宋" w:eastAsia="仿宋" w:hAnsi="仿宋"/>
          <w:sz w:val="30"/>
          <w:szCs w:val="30"/>
        </w:rPr>
        <w:t>37</w:t>
      </w:r>
      <w:r w:rsidRPr="00AE0F87">
        <w:rPr>
          <w:rFonts w:ascii="仿宋" w:eastAsia="仿宋" w:hAnsi="仿宋" w:hint="eastAsia"/>
          <w:sz w:val="30"/>
          <w:szCs w:val="30"/>
        </w:rPr>
        <w:t>岁）原系杭州某土特产个体商行老板，后经人介绍认识了被告人荣某（男，</w:t>
      </w:r>
      <w:r w:rsidRPr="00AE0F87">
        <w:rPr>
          <w:rFonts w:ascii="仿宋" w:eastAsia="仿宋" w:hAnsi="仿宋"/>
          <w:sz w:val="30"/>
          <w:szCs w:val="30"/>
        </w:rPr>
        <w:t>41</w:t>
      </w:r>
      <w:r w:rsidRPr="00AE0F87">
        <w:rPr>
          <w:rFonts w:ascii="仿宋" w:eastAsia="仿宋" w:hAnsi="仿宋" w:hint="eastAsia"/>
          <w:sz w:val="30"/>
          <w:szCs w:val="30"/>
        </w:rPr>
        <w:t>岁），</w:t>
      </w:r>
      <w:r w:rsidRPr="00AE0F87">
        <w:rPr>
          <w:rFonts w:ascii="仿宋" w:eastAsia="仿宋" w:hAnsi="仿宋"/>
          <w:sz w:val="30"/>
          <w:szCs w:val="30"/>
        </w:rPr>
        <w:t>2010</w:t>
      </w:r>
      <w:r w:rsidRPr="00AE0F87">
        <w:rPr>
          <w:rFonts w:ascii="仿宋" w:eastAsia="仿宋" w:hAnsi="仿宋" w:hint="eastAsia"/>
          <w:sz w:val="30"/>
          <w:szCs w:val="30"/>
        </w:rPr>
        <w:t>年</w:t>
      </w:r>
      <w:r w:rsidRPr="00AE0F87">
        <w:rPr>
          <w:rFonts w:ascii="仿宋" w:eastAsia="仿宋" w:hAnsi="仿宋"/>
          <w:sz w:val="30"/>
          <w:szCs w:val="30"/>
        </w:rPr>
        <w:t>1</w:t>
      </w:r>
      <w:r w:rsidRPr="00AE0F87">
        <w:rPr>
          <w:rFonts w:ascii="仿宋" w:eastAsia="仿宋" w:hAnsi="仿宋" w:hint="eastAsia"/>
          <w:sz w:val="30"/>
          <w:szCs w:val="30"/>
        </w:rPr>
        <w:t>月至</w:t>
      </w:r>
      <w:r w:rsidRPr="00AE0F87">
        <w:rPr>
          <w:rFonts w:ascii="仿宋" w:eastAsia="仿宋" w:hAnsi="仿宋"/>
          <w:sz w:val="30"/>
          <w:szCs w:val="30"/>
        </w:rPr>
        <w:t>2012</w:t>
      </w:r>
      <w:r w:rsidRPr="00AE0F87">
        <w:rPr>
          <w:rFonts w:ascii="仿宋" w:eastAsia="仿宋" w:hAnsi="仿宋" w:hint="eastAsia"/>
          <w:sz w:val="30"/>
          <w:szCs w:val="30"/>
        </w:rPr>
        <w:t>年</w:t>
      </w:r>
      <w:r w:rsidRPr="00AE0F87">
        <w:rPr>
          <w:rFonts w:ascii="仿宋" w:eastAsia="仿宋" w:hAnsi="仿宋"/>
          <w:sz w:val="30"/>
          <w:szCs w:val="30"/>
        </w:rPr>
        <w:t>11</w:t>
      </w:r>
      <w:r w:rsidRPr="00AE0F87">
        <w:rPr>
          <w:rFonts w:ascii="仿宋" w:eastAsia="仿宋" w:hAnsi="仿宋" w:hint="eastAsia"/>
          <w:sz w:val="30"/>
          <w:szCs w:val="30"/>
        </w:rPr>
        <w:t>月期间，双方一直以男女朋友身份交往，在此期间，被告人荣某虚构开办服装厂、经营宾馆、承办工程、购买房产等需要资金为由，多次要求秦某向亲友借贷资金供其使用，同时许以高额的利息回报，荣某将借贷的资金均用于高利转贷牟取非法利益，后荣某因资金链断裂，遂抛弃秦某潜逃，至</w:t>
      </w:r>
      <w:r w:rsidRPr="00AE0F87">
        <w:rPr>
          <w:rFonts w:ascii="仿宋" w:eastAsia="仿宋" w:hAnsi="仿宋"/>
          <w:sz w:val="30"/>
          <w:szCs w:val="30"/>
        </w:rPr>
        <w:t>2013</w:t>
      </w:r>
      <w:r w:rsidRPr="00AE0F87">
        <w:rPr>
          <w:rFonts w:ascii="仿宋" w:eastAsia="仿宋" w:hAnsi="仿宋" w:hint="eastAsia"/>
          <w:sz w:val="30"/>
          <w:szCs w:val="30"/>
        </w:rPr>
        <w:t>年</w:t>
      </w:r>
      <w:r w:rsidRPr="00AE0F87">
        <w:rPr>
          <w:rFonts w:ascii="仿宋" w:eastAsia="仿宋" w:hAnsi="仿宋"/>
          <w:sz w:val="30"/>
          <w:szCs w:val="30"/>
        </w:rPr>
        <w:t>2</w:t>
      </w:r>
      <w:r w:rsidRPr="00AE0F87">
        <w:rPr>
          <w:rFonts w:ascii="仿宋" w:eastAsia="仿宋" w:hAnsi="仿宋" w:hint="eastAsia"/>
          <w:sz w:val="30"/>
          <w:szCs w:val="30"/>
        </w:rPr>
        <w:t>月案发前，荣某通过秦某累计借款额达</w:t>
      </w:r>
      <w:r w:rsidRPr="00AE0F87">
        <w:rPr>
          <w:rFonts w:ascii="仿宋" w:eastAsia="仿宋" w:hAnsi="仿宋"/>
          <w:sz w:val="30"/>
          <w:szCs w:val="30"/>
        </w:rPr>
        <w:t>1500</w:t>
      </w:r>
      <w:r w:rsidRPr="00AE0F87">
        <w:rPr>
          <w:rFonts w:ascii="仿宋" w:eastAsia="仿宋" w:hAnsi="仿宋" w:hint="eastAsia"/>
          <w:sz w:val="30"/>
          <w:szCs w:val="30"/>
        </w:rPr>
        <w:t>余万元，荣某潜逃后，秦某通过多方筹措，变卖家产，陆续归还了其中</w:t>
      </w:r>
      <w:r w:rsidRPr="00AE0F87">
        <w:rPr>
          <w:rFonts w:ascii="仿宋" w:eastAsia="仿宋" w:hAnsi="仿宋"/>
          <w:sz w:val="30"/>
          <w:szCs w:val="30"/>
        </w:rPr>
        <w:t>1200</w:t>
      </w:r>
      <w:r w:rsidRPr="00AE0F87">
        <w:rPr>
          <w:rFonts w:ascii="仿宋" w:eastAsia="仿宋" w:hAnsi="仿宋" w:hint="eastAsia"/>
          <w:sz w:val="30"/>
          <w:szCs w:val="30"/>
        </w:rPr>
        <w:t>余万元，至案发时，秦某尚拖欠其兄秦某某及同学周某</w:t>
      </w:r>
      <w:r w:rsidRPr="00AE0F87">
        <w:rPr>
          <w:rFonts w:ascii="仿宋" w:eastAsia="仿宋" w:hAnsi="仿宋"/>
          <w:sz w:val="30"/>
          <w:szCs w:val="30"/>
        </w:rPr>
        <w:t>600</w:t>
      </w:r>
      <w:r w:rsidRPr="00AE0F87">
        <w:rPr>
          <w:rFonts w:ascii="仿宋" w:eastAsia="仿宋" w:hAnsi="仿宋" w:hint="eastAsia"/>
          <w:sz w:val="30"/>
          <w:szCs w:val="30"/>
        </w:rPr>
        <w:t>余万元款项未归还。</w:t>
      </w:r>
      <w:r w:rsidRPr="00AE0F87">
        <w:rPr>
          <w:rFonts w:ascii="仿宋" w:eastAsia="仿宋" w:hAnsi="仿宋"/>
          <w:sz w:val="30"/>
          <w:szCs w:val="30"/>
        </w:rPr>
        <w:t>2013</w:t>
      </w:r>
      <w:r w:rsidRPr="00AE0F87">
        <w:rPr>
          <w:rFonts w:ascii="仿宋" w:eastAsia="仿宋" w:hAnsi="仿宋" w:hint="eastAsia"/>
          <w:sz w:val="30"/>
          <w:szCs w:val="30"/>
        </w:rPr>
        <w:t>年</w:t>
      </w:r>
      <w:r w:rsidRPr="00AE0F87">
        <w:rPr>
          <w:rFonts w:ascii="仿宋" w:eastAsia="仿宋" w:hAnsi="仿宋"/>
          <w:sz w:val="30"/>
          <w:szCs w:val="30"/>
        </w:rPr>
        <w:t>2</w:t>
      </w:r>
      <w:r w:rsidRPr="00AE0F87">
        <w:rPr>
          <w:rFonts w:ascii="仿宋" w:eastAsia="仿宋" w:hAnsi="仿宋" w:hint="eastAsia"/>
          <w:sz w:val="30"/>
          <w:szCs w:val="30"/>
        </w:rPr>
        <w:t>月底，荣某被抓获归案，公诉机关以集资诈骗罪、非法吸收公众存款罪对荣某提起公诉，以非法吸收公众存款罪对秦某提起公诉。案件已经开庭，但目前尚未判决。</w:t>
      </w:r>
    </w:p>
    <w:p w:rsidR="00172873" w:rsidRPr="00AE0F87" w:rsidRDefault="00172873" w:rsidP="004E343D">
      <w:pPr>
        <w:spacing w:line="560" w:lineRule="exact"/>
        <w:rPr>
          <w:rFonts w:ascii="仿宋" w:eastAsia="仿宋" w:hAnsi="仿宋"/>
          <w:sz w:val="30"/>
          <w:szCs w:val="30"/>
        </w:rPr>
      </w:pPr>
    </w:p>
    <w:p w:rsidR="00172873" w:rsidRPr="00AE0F87" w:rsidRDefault="00172873" w:rsidP="004E343D">
      <w:pPr>
        <w:spacing w:line="560" w:lineRule="exact"/>
        <w:rPr>
          <w:rFonts w:ascii="仿宋" w:eastAsia="仿宋" w:hAnsi="仿宋"/>
          <w:sz w:val="30"/>
          <w:szCs w:val="30"/>
        </w:rPr>
      </w:pPr>
      <w:r w:rsidRPr="00AE0F87">
        <w:rPr>
          <w:rFonts w:ascii="仿宋" w:eastAsia="仿宋" w:hAnsi="仿宋" w:hint="eastAsia"/>
          <w:b/>
          <w:sz w:val="30"/>
          <w:szCs w:val="30"/>
        </w:rPr>
        <w:t>争议焦点：</w:t>
      </w:r>
      <w:r w:rsidRPr="00AE0F87">
        <w:rPr>
          <w:rFonts w:ascii="仿宋" w:eastAsia="仿宋" w:hAnsi="仿宋" w:hint="eastAsia"/>
          <w:sz w:val="30"/>
          <w:szCs w:val="30"/>
        </w:rPr>
        <w:t>结合《最高人民法院关于审理非法集资刑事案件具体应用法律若干问题的解释》第一条之规定，该案控辩双方对于第一要件“未经有关部门依法批准或者借用合法经营的形式吸收资金”和第三要件“承诺在一定期限内以货币、实物、股权等方式还本付息或者给付回报”均无异议，双方的争议焦点主要集中于第二要件“通过媒体、推介会、传单、手机短信等途径向社会公开宣传”和第四要件“向社会公众即社会不特定对象吸收资金”。控方核心观点认为秦某以高额利息为诱饵，先后向周某等社会不特定公众借款，牵涉人员多达</w:t>
      </w:r>
      <w:r>
        <w:rPr>
          <w:rFonts w:ascii="仿宋" w:eastAsia="仿宋" w:hAnsi="仿宋" w:hint="eastAsia"/>
          <w:sz w:val="30"/>
          <w:szCs w:val="30"/>
        </w:rPr>
        <w:t>近二十</w:t>
      </w:r>
      <w:r w:rsidRPr="00AE0F87">
        <w:rPr>
          <w:rFonts w:ascii="仿宋" w:eastAsia="仿宋" w:hAnsi="仿宋" w:hint="eastAsia"/>
          <w:sz w:val="30"/>
          <w:szCs w:val="30"/>
        </w:rPr>
        <w:t>人，集资总额高达</w:t>
      </w:r>
      <w:r w:rsidRPr="00AE0F87">
        <w:rPr>
          <w:rFonts w:ascii="仿宋" w:eastAsia="仿宋" w:hAnsi="仿宋"/>
          <w:sz w:val="30"/>
          <w:szCs w:val="30"/>
        </w:rPr>
        <w:t>1500</w:t>
      </w:r>
      <w:r w:rsidRPr="00AE0F87">
        <w:rPr>
          <w:rFonts w:ascii="仿宋" w:eastAsia="仿宋" w:hAnsi="仿宋" w:hint="eastAsia"/>
          <w:sz w:val="30"/>
          <w:szCs w:val="30"/>
        </w:rPr>
        <w:t>余万元，造成实际损失</w:t>
      </w:r>
      <w:r w:rsidRPr="00AE0F87">
        <w:rPr>
          <w:rFonts w:ascii="仿宋" w:eastAsia="仿宋" w:hAnsi="仿宋"/>
          <w:sz w:val="30"/>
          <w:szCs w:val="30"/>
        </w:rPr>
        <w:t>600</w:t>
      </w:r>
      <w:r w:rsidRPr="00AE0F87">
        <w:rPr>
          <w:rFonts w:ascii="仿宋" w:eastAsia="仿宋" w:hAnsi="仿宋" w:hint="eastAsia"/>
          <w:sz w:val="30"/>
          <w:szCs w:val="30"/>
        </w:rPr>
        <w:t>余万元，其行为符合司法解释规定的四要件，应当以非法吸收公众存款罪追究刑事责任。而辩方认为，司法解释规定的四要件需同时齐备，缺一不可，被告人秦某的行为既没有面向社会公开宣传，同时，案涉人员虽然人数众多，也并非司法解释中所规定的“社会不特定对象”，均系其亲友，双方系基于特定的人身信赖关系发生资金往来，虽然其行为符合四要件中的两点，但根据司法解释第一条末尾但书之规定，即“未向社会公开宣传，在亲友或者单位内部针对特定对象吸收资金的，不属于非法吸收或者变相吸收公众存款”，其行为依法不应当入罪，本案实际情况是被告人秦某系被本案另一被告人荣某假借谈恋爱为名蒙蔽，秦某在案发后积极筹措款项弥补损失，其本人的生意陷于破产，名下房产均变卖还债，秦某恰恰是本案的最大受害者。</w:t>
      </w:r>
    </w:p>
    <w:p w:rsidR="00172873" w:rsidRPr="00AE0F87" w:rsidRDefault="00172873" w:rsidP="004E343D">
      <w:pPr>
        <w:spacing w:line="560" w:lineRule="exact"/>
        <w:rPr>
          <w:rFonts w:ascii="仿宋" w:eastAsia="仿宋" w:hAnsi="仿宋"/>
          <w:sz w:val="30"/>
          <w:szCs w:val="30"/>
        </w:rPr>
      </w:pPr>
    </w:p>
    <w:p w:rsidR="00172873" w:rsidRPr="00AE0F87" w:rsidRDefault="00172873" w:rsidP="004E343D">
      <w:pPr>
        <w:spacing w:line="560" w:lineRule="exact"/>
        <w:rPr>
          <w:rFonts w:ascii="仿宋" w:eastAsia="仿宋" w:hAnsi="仿宋"/>
          <w:b/>
          <w:sz w:val="30"/>
          <w:szCs w:val="30"/>
        </w:rPr>
      </w:pPr>
      <w:r w:rsidRPr="00AE0F87">
        <w:rPr>
          <w:rFonts w:ascii="仿宋" w:eastAsia="仿宋" w:hAnsi="仿宋" w:hint="eastAsia"/>
          <w:b/>
          <w:sz w:val="30"/>
          <w:szCs w:val="30"/>
        </w:rPr>
        <w:t>法理研析：</w:t>
      </w:r>
    </w:p>
    <w:p w:rsidR="00172873" w:rsidRPr="00AE0F87" w:rsidRDefault="00172873" w:rsidP="008E1024">
      <w:pPr>
        <w:spacing w:line="560" w:lineRule="exact"/>
        <w:ind w:firstLineChars="200" w:firstLine="31680"/>
        <w:rPr>
          <w:rFonts w:ascii="仿宋" w:eastAsia="仿宋" w:hAnsi="仿宋"/>
          <w:sz w:val="30"/>
          <w:szCs w:val="30"/>
        </w:rPr>
      </w:pPr>
      <w:r w:rsidRPr="00AE0F87">
        <w:rPr>
          <w:rFonts w:ascii="仿宋" w:eastAsia="仿宋" w:hAnsi="仿宋" w:hint="eastAsia"/>
          <w:sz w:val="30"/>
          <w:szCs w:val="30"/>
        </w:rPr>
        <w:t>一、关于最高院司法解释规定的“通过媒体、推介会、传单、手机短信等途径向社会公开宣传”中的“途径”如何界定问题。</w:t>
      </w:r>
    </w:p>
    <w:p w:rsidR="00172873" w:rsidRPr="00AE0F87" w:rsidRDefault="00172873" w:rsidP="008E1024">
      <w:pPr>
        <w:spacing w:line="560" w:lineRule="exact"/>
        <w:ind w:firstLineChars="200" w:firstLine="31680"/>
        <w:rPr>
          <w:rFonts w:ascii="仿宋" w:eastAsia="仿宋" w:hAnsi="仿宋"/>
          <w:sz w:val="30"/>
          <w:szCs w:val="30"/>
        </w:rPr>
      </w:pPr>
      <w:r w:rsidRPr="00AE0F87">
        <w:rPr>
          <w:rFonts w:ascii="仿宋" w:eastAsia="仿宋" w:hAnsi="仿宋" w:hint="eastAsia"/>
          <w:sz w:val="30"/>
          <w:szCs w:val="30"/>
        </w:rPr>
        <w:t>司法解释关于构罪第二要件的“向社会公开宣传”，笔者认为所谓“公开宣传”的途径，应该严格遵循上述司法解释界定的“媒体、推介会、传单、手机短信”等若干方式，而不应作出扩大解释，就本案庭审过程来看，被告人秦某并没有采取上述解释列举的任何一个途径，其大多数的借款的发生均是围绕熟人社会展开的，其中包括哥哥、表姐、姨父等亲属。仅有个别证人证言表明借款的发生是通过其他出资人转介绍而来。因此，控方围绕公开宣传的“途径”多次举证，其立论的落脚点就在于“转介绍”上，即所谓的通过“口口相传”的途径吸收他人存款，认为这一途径也应当包含在上述司法解释“公开宣传”的途径之内，对此，笔者不敢苟同，从本罪的立法本意来看，重点保护的是国家的金融秩序，而现实中绝大多数的民间金融均发生在熟人社会之间，也正是通过“口口相传”的方式增加资金总量的，而最高院的司法解释之所以作列举式的表述，仅提及媒体、推介会、传单、手机短信等四种途径，是因为这四种途径已经突破了熟人社会的传统，将出资人涉及面扩大到了“社会不特定对象”，即陌生人之间。商界有一条著名的定律，即美国著名推销员乔·吉拉德提出的“</w:t>
      </w:r>
      <w:r w:rsidRPr="00AE0F87">
        <w:rPr>
          <w:rFonts w:ascii="仿宋" w:eastAsia="仿宋" w:hAnsi="仿宋"/>
          <w:sz w:val="30"/>
          <w:szCs w:val="30"/>
        </w:rPr>
        <w:t>250</w:t>
      </w:r>
      <w:r w:rsidRPr="00AE0F87">
        <w:rPr>
          <w:rFonts w:ascii="仿宋" w:eastAsia="仿宋" w:hAnsi="仿宋" w:hint="eastAsia"/>
          <w:sz w:val="30"/>
          <w:szCs w:val="30"/>
        </w:rPr>
        <w:t>定律”讲到，每一位顾客身后，约有</w:t>
      </w:r>
      <w:r w:rsidRPr="00AE0F87">
        <w:rPr>
          <w:rFonts w:ascii="仿宋" w:eastAsia="仿宋" w:hAnsi="仿宋"/>
          <w:sz w:val="30"/>
          <w:szCs w:val="30"/>
        </w:rPr>
        <w:t>250</w:t>
      </w:r>
      <w:r w:rsidRPr="00AE0F87">
        <w:rPr>
          <w:rFonts w:ascii="仿宋" w:eastAsia="仿宋" w:hAnsi="仿宋" w:hint="eastAsia"/>
          <w:sz w:val="30"/>
          <w:szCs w:val="30"/>
        </w:rPr>
        <w:t>名亲朋好友，你赢得一位顾客好感，就意味着赢得</w:t>
      </w:r>
      <w:r w:rsidRPr="00AE0F87">
        <w:rPr>
          <w:rFonts w:ascii="仿宋" w:eastAsia="仿宋" w:hAnsi="仿宋"/>
          <w:sz w:val="30"/>
          <w:szCs w:val="30"/>
        </w:rPr>
        <w:t>250</w:t>
      </w:r>
      <w:r w:rsidRPr="00AE0F87">
        <w:rPr>
          <w:rFonts w:ascii="仿宋" w:eastAsia="仿宋" w:hAnsi="仿宋" w:hint="eastAsia"/>
          <w:sz w:val="30"/>
          <w:szCs w:val="30"/>
        </w:rPr>
        <w:t>人的好感；反之如果你得罪一名顾客，就意味着得罪</w:t>
      </w:r>
      <w:r w:rsidRPr="00AE0F87">
        <w:rPr>
          <w:rFonts w:ascii="仿宋" w:eastAsia="仿宋" w:hAnsi="仿宋"/>
          <w:sz w:val="30"/>
          <w:szCs w:val="30"/>
        </w:rPr>
        <w:t>250</w:t>
      </w:r>
      <w:r w:rsidRPr="00AE0F87">
        <w:rPr>
          <w:rFonts w:ascii="仿宋" w:eastAsia="仿宋" w:hAnsi="仿宋" w:hint="eastAsia"/>
          <w:sz w:val="30"/>
          <w:szCs w:val="30"/>
        </w:rPr>
        <w:t>名顾客。这一定律同样适用于非法吸收公众存款罪的界定，如果本案被告人秦某仅仅是通过“口口相传”的方式向他人借款，根据“</w:t>
      </w:r>
      <w:r w:rsidRPr="00AE0F87">
        <w:rPr>
          <w:rFonts w:ascii="仿宋" w:eastAsia="仿宋" w:hAnsi="仿宋"/>
          <w:sz w:val="30"/>
          <w:szCs w:val="30"/>
        </w:rPr>
        <w:t>250</w:t>
      </w:r>
      <w:r w:rsidRPr="00AE0F87">
        <w:rPr>
          <w:rFonts w:ascii="仿宋" w:eastAsia="仿宋" w:hAnsi="仿宋" w:hint="eastAsia"/>
          <w:sz w:val="30"/>
          <w:szCs w:val="30"/>
        </w:rPr>
        <w:t>定律”推导，其行为的影响力将十分有限，对国家金融秩序的冲击也将极为有限，其行为带来的社会危害性并不足以上升到国家金融秩序安全的层面，反之，如果脱离熟人社会，通过司法解释界定的四种途径吸纳社会公众的资金，则必然给国家的金融管理秩序带来实质性的破坏，造成无法估量的损害后果，因此必须上升到刑事法律调整的层面予以规制。</w:t>
      </w:r>
    </w:p>
    <w:p w:rsidR="00172873" w:rsidRPr="00AE0F87" w:rsidRDefault="00172873" w:rsidP="008E1024">
      <w:pPr>
        <w:spacing w:line="560" w:lineRule="exact"/>
        <w:ind w:firstLineChars="200" w:firstLine="31680"/>
        <w:rPr>
          <w:rFonts w:ascii="仿宋" w:eastAsia="仿宋" w:hAnsi="仿宋"/>
          <w:sz w:val="30"/>
          <w:szCs w:val="30"/>
        </w:rPr>
      </w:pPr>
      <w:r w:rsidRPr="00AE0F87">
        <w:rPr>
          <w:rFonts w:ascii="仿宋" w:eastAsia="仿宋" w:hAnsi="仿宋" w:hint="eastAsia"/>
          <w:sz w:val="30"/>
          <w:szCs w:val="30"/>
        </w:rPr>
        <w:t>二、关于最高院司法解释规定的“向社会公众即社会不特定对象吸收资金”中的“社会公众”（“社会不特定对象”）如何理解的问题。</w:t>
      </w:r>
    </w:p>
    <w:p w:rsidR="00172873" w:rsidRDefault="00172873" w:rsidP="008E1024">
      <w:pPr>
        <w:spacing w:line="560" w:lineRule="exact"/>
        <w:ind w:firstLineChars="200" w:firstLine="31680"/>
        <w:rPr>
          <w:rFonts w:ascii="宋体"/>
          <w:sz w:val="28"/>
          <w:szCs w:val="28"/>
        </w:rPr>
      </w:pPr>
      <w:r w:rsidRPr="00AE0F87">
        <w:rPr>
          <w:rFonts w:ascii="仿宋" w:eastAsia="仿宋" w:hAnsi="仿宋" w:hint="eastAsia"/>
          <w:sz w:val="30"/>
          <w:szCs w:val="30"/>
        </w:rPr>
        <w:t>如前所述，“公开宣传”突破的是熟人社会的传统，无论是“社会公众”还是“社会不特定对象”，仅仅是用词的不同，从语义上推导，</w:t>
      </w:r>
      <w:r>
        <w:rPr>
          <w:rFonts w:ascii="仿宋" w:eastAsia="仿宋" w:hAnsi="仿宋" w:hint="eastAsia"/>
          <w:sz w:val="30"/>
          <w:szCs w:val="30"/>
        </w:rPr>
        <w:t>意味着其行为对象的公众性</w:t>
      </w:r>
      <w:r>
        <w:rPr>
          <w:rFonts w:ascii="仿宋" w:eastAsia="仿宋" w:hAnsi="仿宋"/>
          <w:sz w:val="30"/>
          <w:szCs w:val="30"/>
        </w:rPr>
        <w:fldChar w:fldCharType="begin"/>
      </w:r>
      <w:r>
        <w:rPr>
          <w:rFonts w:ascii="仿宋" w:eastAsia="仿宋" w:hAnsi="仿宋"/>
          <w:sz w:val="30"/>
          <w:szCs w:val="30"/>
        </w:rPr>
        <w:instrText xml:space="preserve"> = 1 \* GB3 </w:instrText>
      </w:r>
      <w:r>
        <w:rPr>
          <w:rFonts w:ascii="仿宋" w:eastAsia="仿宋" w:hAnsi="仿宋"/>
          <w:sz w:val="30"/>
          <w:szCs w:val="30"/>
        </w:rPr>
        <w:fldChar w:fldCharType="separate"/>
      </w:r>
      <w:r>
        <w:rPr>
          <w:rFonts w:ascii="仿宋" w:eastAsia="仿宋" w:hAnsi="仿宋" w:hint="eastAsia"/>
          <w:noProof/>
          <w:sz w:val="30"/>
          <w:szCs w:val="30"/>
        </w:rPr>
        <w:t>①</w:t>
      </w:r>
      <w:r>
        <w:rPr>
          <w:rFonts w:ascii="仿宋" w:eastAsia="仿宋" w:hAnsi="仿宋"/>
          <w:sz w:val="30"/>
          <w:szCs w:val="30"/>
        </w:rPr>
        <w:fldChar w:fldCharType="end"/>
      </w:r>
      <w:r>
        <w:rPr>
          <w:rFonts w:ascii="仿宋" w:eastAsia="仿宋" w:hAnsi="仿宋" w:hint="eastAsia"/>
          <w:sz w:val="30"/>
          <w:szCs w:val="30"/>
        </w:rPr>
        <w:t>，</w:t>
      </w:r>
      <w:r w:rsidRPr="00AE0F87">
        <w:rPr>
          <w:rFonts w:ascii="仿宋" w:eastAsia="仿宋" w:hAnsi="仿宋" w:hint="eastAsia"/>
          <w:sz w:val="30"/>
          <w:szCs w:val="30"/>
        </w:rPr>
        <w:t>均已经突破了熟人社会的传统。倘若熟人社会之间的资金融通，</w:t>
      </w:r>
      <w:r>
        <w:rPr>
          <w:rFonts w:ascii="仿宋" w:eastAsia="仿宋" w:hAnsi="仿宋" w:hint="eastAsia"/>
          <w:sz w:val="30"/>
          <w:szCs w:val="30"/>
        </w:rPr>
        <w:t>常见的</w:t>
      </w:r>
      <w:r w:rsidRPr="00AE0F87">
        <w:rPr>
          <w:rFonts w:ascii="仿宋" w:eastAsia="仿宋" w:hAnsi="仿宋" w:hint="eastAsia"/>
          <w:sz w:val="30"/>
          <w:szCs w:val="30"/>
        </w:rPr>
        <w:t>民间借贷也定性为犯罪，那完全违背了浙江民间融资的客观事实，温州人仅凭敢为天下先的勇气，也不可能闯荡到世界各地，温州商人的成功绝对还离不开温商“抱团取暖”的集体主义精神，温州金融改革试验区在取得实质性突破之前，浙江的中小民营企业必将在一定时期内依赖于熟人社会之间的民间借贷解决</w:t>
      </w:r>
      <w:r>
        <w:rPr>
          <w:rFonts w:ascii="仿宋" w:eastAsia="仿宋" w:hAnsi="仿宋" w:hint="eastAsia"/>
          <w:sz w:val="30"/>
          <w:szCs w:val="30"/>
        </w:rPr>
        <w:t>经营中的</w:t>
      </w:r>
      <w:r w:rsidRPr="00AE0F87">
        <w:rPr>
          <w:rFonts w:ascii="仿宋" w:eastAsia="仿宋" w:hAnsi="仿宋" w:hint="eastAsia"/>
          <w:sz w:val="30"/>
          <w:szCs w:val="30"/>
        </w:rPr>
        <w:t>资金问题。就本案来看，牵涉到出资人多达近二十人，资金总量也高达</w:t>
      </w:r>
      <w:r w:rsidRPr="00AE0F87">
        <w:rPr>
          <w:rFonts w:ascii="仿宋" w:eastAsia="仿宋" w:hAnsi="仿宋"/>
          <w:sz w:val="30"/>
          <w:szCs w:val="30"/>
        </w:rPr>
        <w:t>1500</w:t>
      </w:r>
      <w:r w:rsidRPr="00AE0F87">
        <w:rPr>
          <w:rFonts w:ascii="仿宋" w:eastAsia="仿宋" w:hAnsi="仿宋" w:hint="eastAsia"/>
          <w:sz w:val="30"/>
          <w:szCs w:val="30"/>
        </w:rPr>
        <w:t>余万元，从表面看来，似乎已经超越了常规的民间借贷，达到了追究刑事责任的表征，但是笔者认为，要达到司法解释规定“社会公众”的标准，至少应当具备一个根本性特征：</w:t>
      </w:r>
      <w:r>
        <w:rPr>
          <w:rFonts w:ascii="仿宋" w:eastAsia="仿宋" w:hAnsi="仿宋" w:hint="eastAsia"/>
          <w:sz w:val="30"/>
          <w:szCs w:val="30"/>
        </w:rPr>
        <w:t>一旦</w:t>
      </w:r>
      <w:r w:rsidRPr="00AE0F87">
        <w:rPr>
          <w:rFonts w:ascii="仿宋" w:eastAsia="仿宋" w:hAnsi="仿宋" w:hint="eastAsia"/>
          <w:sz w:val="30"/>
          <w:szCs w:val="30"/>
        </w:rPr>
        <w:t>突破了熟人社会</w:t>
      </w:r>
      <w:r>
        <w:rPr>
          <w:rFonts w:ascii="仿宋" w:eastAsia="仿宋" w:hAnsi="仿宋" w:hint="eastAsia"/>
          <w:sz w:val="30"/>
          <w:szCs w:val="30"/>
        </w:rPr>
        <w:t>的范畴</w:t>
      </w:r>
      <w:r w:rsidRPr="00AE0F87">
        <w:rPr>
          <w:rFonts w:ascii="仿宋" w:eastAsia="仿宋" w:hAnsi="仿宋" w:hint="eastAsia"/>
          <w:sz w:val="30"/>
          <w:szCs w:val="30"/>
        </w:rPr>
        <w:t>，那么被告人与出资人之间就应当是“陌生人”，至少在发生资金往来之前，双方并无联系，仅仅是通过上述四种途径才发生了现实中的联系，进一步产生了资金往来关系，据此，双方发生资金往来关系也绝对不会是基于“吸收存款”之前就存在的人身信赖关系。因此，司法解释在四要件之后特意加上一条“但书”：未向社会公开宣传，在亲友或者单位内部针对特定对象吸收资金的，不属于非法吸收公众存款或者变相吸收公众存款。</w:t>
      </w:r>
      <w:r>
        <w:rPr>
          <w:rFonts w:ascii="仿宋" w:eastAsia="仿宋" w:hAnsi="仿宋" w:hint="eastAsia"/>
          <w:sz w:val="30"/>
          <w:szCs w:val="30"/>
        </w:rPr>
        <w:t>此处“亲友”或“单位内部”均属于前述“熟人社会”的范畴</w:t>
      </w:r>
      <w:r w:rsidRPr="00AE0F87">
        <w:rPr>
          <w:rFonts w:ascii="仿宋" w:eastAsia="仿宋" w:hAnsi="仿宋" w:hint="eastAsia"/>
          <w:sz w:val="30"/>
          <w:szCs w:val="30"/>
        </w:rPr>
        <w:t>。</w:t>
      </w:r>
      <w:r>
        <w:rPr>
          <w:rFonts w:ascii="仿宋" w:eastAsia="仿宋" w:hAnsi="仿宋" w:hint="eastAsia"/>
          <w:sz w:val="30"/>
          <w:szCs w:val="30"/>
        </w:rPr>
        <w:t>纵观</w:t>
      </w:r>
      <w:r w:rsidRPr="00AE0F87">
        <w:rPr>
          <w:rFonts w:ascii="仿宋" w:eastAsia="仿宋" w:hAnsi="仿宋" w:hint="eastAsia"/>
          <w:sz w:val="30"/>
          <w:szCs w:val="30"/>
        </w:rPr>
        <w:t>本案，笔者在庭审中反复</w:t>
      </w:r>
      <w:r>
        <w:rPr>
          <w:rFonts w:ascii="仿宋" w:eastAsia="仿宋" w:hAnsi="仿宋" w:hint="eastAsia"/>
          <w:sz w:val="30"/>
          <w:szCs w:val="30"/>
        </w:rPr>
        <w:t>强调</w:t>
      </w:r>
      <w:r w:rsidRPr="00AE0F87">
        <w:rPr>
          <w:rFonts w:ascii="仿宋" w:eastAsia="仿宋" w:hAnsi="仿宋" w:hint="eastAsia"/>
          <w:sz w:val="30"/>
          <w:szCs w:val="30"/>
        </w:rPr>
        <w:t>出资人与被告人之间的关系均为亲戚或者朋友，</w:t>
      </w:r>
      <w:r>
        <w:rPr>
          <w:rFonts w:ascii="仿宋" w:eastAsia="仿宋" w:hAnsi="仿宋" w:hint="eastAsia"/>
          <w:sz w:val="30"/>
          <w:szCs w:val="30"/>
        </w:rPr>
        <w:t>因此依据本案事实，适用但书条款，依法不属于非法吸收</w:t>
      </w:r>
      <w:r w:rsidRPr="00AE0F87">
        <w:rPr>
          <w:rFonts w:ascii="仿宋" w:eastAsia="仿宋" w:hAnsi="仿宋" w:hint="eastAsia"/>
          <w:sz w:val="30"/>
          <w:szCs w:val="30"/>
        </w:rPr>
        <w:t>公众存款或者变相吸收公众存款。</w:t>
      </w:r>
      <w:r>
        <w:rPr>
          <w:rFonts w:ascii="仿宋" w:eastAsia="仿宋" w:hAnsi="仿宋" w:hint="eastAsia"/>
          <w:sz w:val="30"/>
          <w:szCs w:val="30"/>
        </w:rPr>
        <w:t>但</w:t>
      </w:r>
      <w:r w:rsidRPr="00AE0F87">
        <w:rPr>
          <w:rFonts w:ascii="仿宋" w:eastAsia="仿宋" w:hAnsi="仿宋" w:hint="eastAsia"/>
          <w:sz w:val="30"/>
          <w:szCs w:val="30"/>
        </w:rPr>
        <w:t>控方提出了一个观点，</w:t>
      </w:r>
      <w:r>
        <w:rPr>
          <w:rFonts w:ascii="仿宋" w:eastAsia="仿宋" w:hAnsi="仿宋" w:hint="eastAsia"/>
          <w:sz w:val="30"/>
          <w:szCs w:val="30"/>
        </w:rPr>
        <w:t>即虽然出资人确系被告人的亲友，但被告人吸收他人资金经历了一个从亲戚到朋友，由身边熟人到关系稍远的朋友之间的过程，且涉及人数众多，数额巨大，社会影响恶劣，案发时有部分出资人联名具书一致认为被告人秦某与荣某有联手作案的嫌疑，为此要求法庭判处秦某非法吸收公众存款罪成立。笔者认为：</w:t>
      </w:r>
      <w:r w:rsidRPr="000511FE">
        <w:rPr>
          <w:rFonts w:ascii="仿宋" w:eastAsia="仿宋" w:hAnsi="仿宋" w:hint="eastAsia"/>
          <w:sz w:val="30"/>
          <w:szCs w:val="30"/>
        </w:rPr>
        <w:t>出资人都属于与</w:t>
      </w:r>
      <w:r>
        <w:rPr>
          <w:rFonts w:ascii="仿宋" w:eastAsia="仿宋" w:hAnsi="仿宋" w:hint="eastAsia"/>
          <w:sz w:val="30"/>
          <w:szCs w:val="30"/>
        </w:rPr>
        <w:t>被告人秦某</w:t>
      </w:r>
      <w:r w:rsidRPr="000511FE">
        <w:rPr>
          <w:rFonts w:ascii="仿宋" w:eastAsia="仿宋" w:hAnsi="仿宋" w:hint="eastAsia"/>
          <w:sz w:val="30"/>
          <w:szCs w:val="30"/>
        </w:rPr>
        <w:t>具有直接人身信赖关系的“特定对象”，没有一例属于所谓的“社会不特定对象”（即社会公众）的范畴，</w:t>
      </w:r>
      <w:r>
        <w:rPr>
          <w:rFonts w:ascii="仿宋" w:eastAsia="仿宋" w:hAnsi="仿宋" w:hint="eastAsia"/>
          <w:sz w:val="30"/>
          <w:szCs w:val="30"/>
        </w:rPr>
        <w:t>秦某</w:t>
      </w:r>
      <w:r w:rsidRPr="000511FE">
        <w:rPr>
          <w:rFonts w:ascii="仿宋" w:eastAsia="仿宋" w:hAnsi="仿宋" w:hint="eastAsia"/>
          <w:sz w:val="30"/>
          <w:szCs w:val="30"/>
        </w:rPr>
        <w:t>借款都是与其单独直接接洽并个别协商的，而</w:t>
      </w:r>
      <w:r>
        <w:rPr>
          <w:rFonts w:ascii="仿宋" w:eastAsia="仿宋" w:hAnsi="仿宋" w:hint="eastAsia"/>
          <w:sz w:val="30"/>
          <w:szCs w:val="30"/>
        </w:rPr>
        <w:t>司法解释</w:t>
      </w:r>
      <w:r w:rsidRPr="000511FE">
        <w:rPr>
          <w:rFonts w:ascii="仿宋" w:eastAsia="仿宋" w:hAnsi="仿宋" w:hint="eastAsia"/>
          <w:sz w:val="30"/>
          <w:szCs w:val="30"/>
        </w:rPr>
        <w:t>规定的“非法吸收公众存款罪”的“公众”特指“社会不特定对象”，所谓“社会不特定对象”至少应当包含一部分与吸收者之间没有联系（直接关系）的人或者单位，惟其如此才能称得上“公众”或“社会不特定对象”，否则何谈“公众”？</w:t>
      </w:r>
      <w:r w:rsidRPr="000511FE">
        <w:rPr>
          <w:rFonts w:ascii="仿宋" w:eastAsia="仿宋" w:hAnsi="仿宋"/>
          <w:sz w:val="30"/>
          <w:szCs w:val="30"/>
        </w:rPr>
        <w:t xml:space="preserve"> </w:t>
      </w:r>
      <w:r w:rsidRPr="000511FE">
        <w:rPr>
          <w:rFonts w:ascii="仿宋" w:eastAsia="仿宋" w:hAnsi="仿宋" w:hint="eastAsia"/>
          <w:sz w:val="30"/>
          <w:szCs w:val="30"/>
        </w:rPr>
        <w:t>同时，涉案人数的多寡并不能成为指控犯罪与否的立脚点，“社会不特定对象”和“社会公众”表征之一也许是人数众多，但反之人数众多并不能直接证明其属于“社会不特定对象”和“社会公众”</w:t>
      </w:r>
      <w:r>
        <w:rPr>
          <w:rFonts w:ascii="宋体" w:hAnsi="宋体" w:hint="eastAsia"/>
          <w:sz w:val="28"/>
          <w:szCs w:val="28"/>
        </w:rPr>
        <w:t>。</w:t>
      </w:r>
    </w:p>
    <w:p w:rsidR="00172873" w:rsidRPr="00450A5E" w:rsidRDefault="00172873" w:rsidP="004E343D">
      <w:pPr>
        <w:spacing w:line="560" w:lineRule="exact"/>
        <w:rPr>
          <w:rFonts w:ascii="仿宋" w:eastAsia="仿宋" w:hAnsi="仿宋"/>
          <w:sz w:val="30"/>
          <w:szCs w:val="30"/>
        </w:rPr>
      </w:pPr>
      <w:r>
        <w:rPr>
          <w:rFonts w:ascii="宋体" w:hAnsi="宋体"/>
          <w:sz w:val="28"/>
          <w:szCs w:val="28"/>
        </w:rPr>
        <w:t xml:space="preserve">    </w:t>
      </w:r>
      <w:r w:rsidRPr="00450A5E">
        <w:rPr>
          <w:rFonts w:ascii="仿宋" w:eastAsia="仿宋" w:hAnsi="仿宋" w:hint="eastAsia"/>
          <w:sz w:val="30"/>
          <w:szCs w:val="30"/>
        </w:rPr>
        <w:t>笔者认为，综合以上两点，本案被告人秦某既没有采取“向社会公开宣传”的途径广而告之，也未向“社会不特定对象”吸收资金，同时其行为恰恰符合但书条款所规定的除外情形，依法不应当认定为“非法吸收公众存款罪”。</w:t>
      </w:r>
    </w:p>
    <w:p w:rsidR="00172873" w:rsidRDefault="00172873" w:rsidP="008E1024">
      <w:pPr>
        <w:spacing w:line="560" w:lineRule="exact"/>
        <w:ind w:firstLineChars="200" w:firstLine="31680"/>
        <w:rPr>
          <w:rFonts w:ascii="仿宋" w:eastAsia="仿宋" w:hAnsi="仿宋"/>
          <w:b/>
          <w:sz w:val="30"/>
          <w:szCs w:val="30"/>
        </w:rPr>
      </w:pPr>
    </w:p>
    <w:p w:rsidR="00172873" w:rsidRPr="00AE0F87" w:rsidRDefault="00172873" w:rsidP="008E1024">
      <w:pPr>
        <w:spacing w:line="560" w:lineRule="exact"/>
        <w:ind w:firstLineChars="200" w:firstLine="31680"/>
        <w:rPr>
          <w:rFonts w:ascii="仿宋" w:eastAsia="仿宋" w:hAnsi="仿宋"/>
          <w:sz w:val="30"/>
          <w:szCs w:val="30"/>
        </w:rPr>
      </w:pPr>
      <w:r w:rsidRPr="00EF1254">
        <w:rPr>
          <w:rFonts w:ascii="仿宋" w:eastAsia="仿宋" w:hAnsi="仿宋" w:hint="eastAsia"/>
          <w:b/>
          <w:sz w:val="30"/>
          <w:szCs w:val="30"/>
        </w:rPr>
        <w:t>结语：</w:t>
      </w:r>
      <w:r>
        <w:rPr>
          <w:rFonts w:ascii="仿宋" w:eastAsia="仿宋" w:hAnsi="仿宋" w:hint="eastAsia"/>
          <w:sz w:val="30"/>
          <w:szCs w:val="30"/>
        </w:rPr>
        <w:t>国务院设立温州金融改革试验区的政策出发点正是因为高层已经看到了金融垄断对经济发展的消极阻碍作用日益显现，温州作为全国民间金融最为发达的地区之一，其客观存在的天量民间借贷资金和屡禁不绝的地下金融市场也从另一个侧面反映了金融垄断的不合理性，当地的地下金融市场活动事实上已经成为当地农村金融市场“必要的有益补充”</w:t>
      </w:r>
      <w:r>
        <w:rPr>
          <w:rFonts w:ascii="仿宋" w:eastAsia="仿宋" w:hAnsi="仿宋"/>
          <w:sz w:val="30"/>
          <w:szCs w:val="30"/>
        </w:rPr>
        <w:fldChar w:fldCharType="begin"/>
      </w:r>
      <w:r>
        <w:rPr>
          <w:rFonts w:ascii="仿宋" w:eastAsia="仿宋" w:hAnsi="仿宋"/>
          <w:sz w:val="30"/>
          <w:szCs w:val="30"/>
        </w:rPr>
        <w:instrText xml:space="preserve"> = 2 \* GB3 </w:instrText>
      </w:r>
      <w:r>
        <w:rPr>
          <w:rFonts w:ascii="仿宋" w:eastAsia="仿宋" w:hAnsi="仿宋"/>
          <w:sz w:val="30"/>
          <w:szCs w:val="30"/>
        </w:rPr>
        <w:fldChar w:fldCharType="separate"/>
      </w:r>
      <w:r>
        <w:rPr>
          <w:rFonts w:ascii="仿宋" w:eastAsia="仿宋" w:hAnsi="仿宋" w:hint="eastAsia"/>
          <w:noProof/>
          <w:sz w:val="30"/>
          <w:szCs w:val="30"/>
        </w:rPr>
        <w:t>②</w:t>
      </w:r>
      <w:r>
        <w:rPr>
          <w:rFonts w:ascii="仿宋" w:eastAsia="仿宋" w:hAnsi="仿宋"/>
          <w:sz w:val="30"/>
          <w:szCs w:val="30"/>
        </w:rPr>
        <w:fldChar w:fldCharType="end"/>
      </w:r>
      <w:r>
        <w:rPr>
          <w:rFonts w:ascii="仿宋" w:eastAsia="仿宋" w:hAnsi="仿宋" w:hint="eastAsia"/>
          <w:sz w:val="30"/>
          <w:szCs w:val="30"/>
        </w:rPr>
        <w:t>因此，司法机关简单地将这类行为归罪化，有违社会主义市场经济发展的基本规律。相反，一个规模化、公开化的民间借贷市场，对于打破金融垄断，弥补中小企业经营中面临的资金困难，促进金融体制改革，进而促进经济转型升级都具有战略性的意义。从河北孙大午案件到浙江吴英案件，人民</w:t>
      </w:r>
      <w:r w:rsidRPr="009254AC">
        <w:rPr>
          <w:rFonts w:ascii="仿宋" w:eastAsia="仿宋" w:hAnsi="仿宋" w:hint="eastAsia"/>
          <w:sz w:val="30"/>
          <w:szCs w:val="30"/>
        </w:rPr>
        <w:t>法院在审理此类案件过程中，逐步朝着“无罪推定”、“疑罪从无”</w:t>
      </w:r>
      <w:r>
        <w:rPr>
          <w:rFonts w:ascii="仿宋" w:eastAsia="仿宋" w:hAnsi="仿宋" w:hint="eastAsia"/>
          <w:sz w:val="30"/>
          <w:szCs w:val="30"/>
        </w:rPr>
        <w:t>的观念发展，笔者在此记录亲身经历的一个案例，以求管中窥豹，见证中国审判制度的不断进步。</w:t>
      </w:r>
    </w:p>
    <w:p w:rsidR="00172873" w:rsidRDefault="00172873" w:rsidP="008E1024">
      <w:pPr>
        <w:spacing w:line="560" w:lineRule="exact"/>
        <w:ind w:firstLineChars="200" w:firstLine="31680"/>
        <w:rPr>
          <w:rFonts w:ascii="仿宋" w:eastAsia="仿宋" w:hAnsi="仿宋"/>
          <w:sz w:val="30"/>
          <w:szCs w:val="30"/>
        </w:rPr>
      </w:pPr>
    </w:p>
    <w:p w:rsidR="00172873" w:rsidRDefault="00172873" w:rsidP="008E1024">
      <w:pPr>
        <w:spacing w:line="560" w:lineRule="exact"/>
        <w:ind w:firstLineChars="200" w:firstLine="31680"/>
        <w:rPr>
          <w:rFonts w:ascii="仿宋" w:eastAsia="仿宋" w:hAnsi="仿宋"/>
          <w:sz w:val="30"/>
          <w:szCs w:val="30"/>
        </w:rPr>
      </w:pPr>
    </w:p>
    <w:p w:rsidR="00172873" w:rsidRDefault="00172873" w:rsidP="008E1024">
      <w:pPr>
        <w:spacing w:line="560" w:lineRule="exact"/>
        <w:ind w:firstLineChars="200" w:firstLine="31680"/>
        <w:rPr>
          <w:rFonts w:ascii="仿宋" w:eastAsia="仿宋" w:hAnsi="仿宋"/>
          <w:sz w:val="30"/>
          <w:szCs w:val="30"/>
        </w:rPr>
      </w:pPr>
    </w:p>
    <w:p w:rsidR="00172873" w:rsidRDefault="00172873" w:rsidP="008E1024">
      <w:pPr>
        <w:spacing w:line="560" w:lineRule="exact"/>
        <w:ind w:firstLineChars="200" w:firstLine="31680"/>
        <w:rPr>
          <w:rFonts w:ascii="仿宋" w:eastAsia="仿宋" w:hAnsi="仿宋"/>
          <w:sz w:val="30"/>
          <w:szCs w:val="30"/>
        </w:rPr>
      </w:pPr>
    </w:p>
    <w:p w:rsidR="00172873" w:rsidRDefault="00172873" w:rsidP="008E1024">
      <w:pPr>
        <w:spacing w:line="560" w:lineRule="exact"/>
        <w:ind w:firstLineChars="200" w:firstLine="31680"/>
        <w:rPr>
          <w:rFonts w:ascii="仿宋" w:eastAsia="仿宋" w:hAnsi="仿宋"/>
          <w:sz w:val="30"/>
          <w:szCs w:val="30"/>
        </w:rPr>
      </w:pPr>
      <w:r>
        <w:rPr>
          <w:rFonts w:ascii="仿宋" w:eastAsia="仿宋" w:hAnsi="仿宋"/>
          <w:sz w:val="30"/>
          <w:szCs w:val="30"/>
        </w:rPr>
        <w:fldChar w:fldCharType="begin"/>
      </w:r>
      <w:r>
        <w:rPr>
          <w:rFonts w:ascii="仿宋" w:eastAsia="仿宋" w:hAnsi="仿宋"/>
          <w:sz w:val="30"/>
          <w:szCs w:val="30"/>
        </w:rPr>
        <w:instrText xml:space="preserve"> = 1 \* GB3 </w:instrText>
      </w:r>
      <w:r>
        <w:rPr>
          <w:rFonts w:ascii="仿宋" w:eastAsia="仿宋" w:hAnsi="仿宋"/>
          <w:sz w:val="30"/>
          <w:szCs w:val="30"/>
        </w:rPr>
        <w:fldChar w:fldCharType="separate"/>
      </w:r>
      <w:r>
        <w:rPr>
          <w:rFonts w:ascii="仿宋" w:eastAsia="仿宋" w:hAnsi="仿宋" w:hint="eastAsia"/>
          <w:noProof/>
          <w:sz w:val="30"/>
          <w:szCs w:val="30"/>
        </w:rPr>
        <w:t>①</w:t>
      </w:r>
      <w:r>
        <w:rPr>
          <w:rFonts w:ascii="仿宋" w:eastAsia="仿宋" w:hAnsi="仿宋"/>
          <w:sz w:val="30"/>
          <w:szCs w:val="30"/>
        </w:rPr>
        <w:fldChar w:fldCharType="end"/>
      </w:r>
      <w:r>
        <w:rPr>
          <w:rFonts w:ascii="仿宋" w:eastAsia="仿宋" w:hAnsi="仿宋" w:hint="eastAsia"/>
          <w:sz w:val="30"/>
          <w:szCs w:val="30"/>
        </w:rPr>
        <w:t>张明楷主编：《刑法学》第四版，法律出版社，</w:t>
      </w:r>
      <w:r>
        <w:rPr>
          <w:rFonts w:ascii="仿宋" w:eastAsia="仿宋" w:hAnsi="仿宋"/>
          <w:sz w:val="30"/>
          <w:szCs w:val="30"/>
        </w:rPr>
        <w:t>2011</w:t>
      </w:r>
      <w:r>
        <w:rPr>
          <w:rFonts w:ascii="仿宋" w:eastAsia="仿宋" w:hAnsi="仿宋" w:hint="eastAsia"/>
          <w:sz w:val="30"/>
          <w:szCs w:val="30"/>
        </w:rPr>
        <w:t>年</w:t>
      </w:r>
      <w:r>
        <w:rPr>
          <w:rFonts w:ascii="仿宋" w:eastAsia="仿宋" w:hAnsi="仿宋"/>
          <w:sz w:val="30"/>
          <w:szCs w:val="30"/>
        </w:rPr>
        <w:t>7</w:t>
      </w:r>
      <w:r>
        <w:rPr>
          <w:rFonts w:ascii="仿宋" w:eastAsia="仿宋" w:hAnsi="仿宋" w:hint="eastAsia"/>
          <w:sz w:val="30"/>
          <w:szCs w:val="30"/>
        </w:rPr>
        <w:t>月第</w:t>
      </w:r>
      <w:r>
        <w:rPr>
          <w:rFonts w:ascii="仿宋" w:eastAsia="仿宋" w:hAnsi="仿宋"/>
          <w:sz w:val="30"/>
          <w:szCs w:val="30"/>
        </w:rPr>
        <w:t>4</w:t>
      </w:r>
      <w:r>
        <w:rPr>
          <w:rFonts w:ascii="仿宋" w:eastAsia="仿宋" w:hAnsi="仿宋" w:hint="eastAsia"/>
          <w:sz w:val="30"/>
          <w:szCs w:val="30"/>
        </w:rPr>
        <w:t>版，第</w:t>
      </w:r>
      <w:r>
        <w:rPr>
          <w:rFonts w:ascii="仿宋" w:eastAsia="仿宋" w:hAnsi="仿宋"/>
          <w:sz w:val="30"/>
          <w:szCs w:val="30"/>
        </w:rPr>
        <w:t>686</w:t>
      </w:r>
      <w:r>
        <w:rPr>
          <w:rFonts w:ascii="仿宋" w:eastAsia="仿宋" w:hAnsi="仿宋" w:hint="eastAsia"/>
          <w:sz w:val="30"/>
          <w:szCs w:val="30"/>
        </w:rPr>
        <w:t>页。</w:t>
      </w:r>
    </w:p>
    <w:p w:rsidR="00172873" w:rsidRDefault="00172873" w:rsidP="008E1024">
      <w:pPr>
        <w:spacing w:line="560" w:lineRule="exact"/>
        <w:ind w:firstLineChars="200" w:firstLine="31680"/>
        <w:rPr>
          <w:rFonts w:ascii="仿宋" w:eastAsia="仿宋" w:hAnsi="仿宋"/>
          <w:sz w:val="30"/>
          <w:szCs w:val="30"/>
        </w:rPr>
      </w:pPr>
      <w:r>
        <w:rPr>
          <w:rFonts w:ascii="仿宋" w:eastAsia="仿宋" w:hAnsi="仿宋"/>
          <w:sz w:val="30"/>
          <w:szCs w:val="30"/>
        </w:rPr>
        <w:fldChar w:fldCharType="begin"/>
      </w:r>
      <w:r>
        <w:rPr>
          <w:rFonts w:ascii="仿宋" w:eastAsia="仿宋" w:hAnsi="仿宋"/>
          <w:sz w:val="30"/>
          <w:szCs w:val="30"/>
        </w:rPr>
        <w:instrText xml:space="preserve"> = 2 \* GB3 </w:instrText>
      </w:r>
      <w:r>
        <w:rPr>
          <w:rFonts w:ascii="仿宋" w:eastAsia="仿宋" w:hAnsi="仿宋"/>
          <w:sz w:val="30"/>
          <w:szCs w:val="30"/>
        </w:rPr>
        <w:fldChar w:fldCharType="separate"/>
      </w:r>
      <w:r>
        <w:rPr>
          <w:rFonts w:ascii="仿宋" w:eastAsia="仿宋" w:hAnsi="仿宋" w:hint="eastAsia"/>
          <w:noProof/>
          <w:sz w:val="30"/>
          <w:szCs w:val="30"/>
        </w:rPr>
        <w:t>②</w:t>
      </w:r>
      <w:r>
        <w:rPr>
          <w:rFonts w:ascii="仿宋" w:eastAsia="仿宋" w:hAnsi="仿宋"/>
          <w:sz w:val="30"/>
          <w:szCs w:val="30"/>
        </w:rPr>
        <w:fldChar w:fldCharType="end"/>
      </w:r>
      <w:r>
        <w:rPr>
          <w:rFonts w:ascii="仿宋" w:eastAsia="仿宋" w:hAnsi="仿宋" w:hint="eastAsia"/>
          <w:sz w:val="30"/>
          <w:szCs w:val="30"/>
        </w:rPr>
        <w:t>初本德主编：《地下钱庄问题深度解析》，中国方正出版社</w:t>
      </w:r>
      <w:r>
        <w:rPr>
          <w:rFonts w:ascii="仿宋" w:eastAsia="仿宋" w:hAnsi="仿宋"/>
          <w:sz w:val="30"/>
          <w:szCs w:val="30"/>
        </w:rPr>
        <w:t>2008</w:t>
      </w:r>
      <w:r>
        <w:rPr>
          <w:rFonts w:ascii="仿宋" w:eastAsia="仿宋" w:hAnsi="仿宋" w:hint="eastAsia"/>
          <w:sz w:val="30"/>
          <w:szCs w:val="30"/>
        </w:rPr>
        <w:t>年版，第</w:t>
      </w:r>
      <w:r>
        <w:rPr>
          <w:rFonts w:ascii="仿宋" w:eastAsia="仿宋" w:hAnsi="仿宋"/>
          <w:sz w:val="30"/>
          <w:szCs w:val="30"/>
        </w:rPr>
        <w:t>60-61</w:t>
      </w:r>
      <w:r>
        <w:rPr>
          <w:rFonts w:ascii="仿宋" w:eastAsia="仿宋" w:hAnsi="仿宋" w:hint="eastAsia"/>
          <w:sz w:val="30"/>
          <w:szCs w:val="30"/>
        </w:rPr>
        <w:t>页。</w:t>
      </w:r>
    </w:p>
    <w:p w:rsidR="00172873" w:rsidRDefault="00172873" w:rsidP="008E1024">
      <w:pPr>
        <w:spacing w:line="560" w:lineRule="exact"/>
        <w:ind w:firstLineChars="200" w:firstLine="31680"/>
        <w:rPr>
          <w:rFonts w:ascii="仿宋" w:eastAsia="仿宋" w:hAnsi="仿宋"/>
          <w:sz w:val="30"/>
          <w:szCs w:val="30"/>
        </w:rPr>
      </w:pPr>
    </w:p>
    <w:p w:rsidR="00172873" w:rsidRDefault="00172873" w:rsidP="008E1024">
      <w:pPr>
        <w:spacing w:line="560" w:lineRule="exact"/>
        <w:ind w:firstLineChars="200" w:firstLine="31680"/>
        <w:rPr>
          <w:rFonts w:ascii="仿宋" w:eastAsia="仿宋" w:hAnsi="仿宋"/>
          <w:sz w:val="30"/>
          <w:szCs w:val="30"/>
        </w:rPr>
      </w:pPr>
    </w:p>
    <w:p w:rsidR="00172873" w:rsidRDefault="00172873" w:rsidP="008E1024">
      <w:pPr>
        <w:spacing w:line="560" w:lineRule="exact"/>
        <w:ind w:firstLineChars="200" w:firstLine="31680"/>
        <w:jc w:val="right"/>
        <w:rPr>
          <w:rFonts w:ascii="仿宋" w:eastAsia="仿宋" w:hAnsi="仿宋"/>
          <w:sz w:val="30"/>
          <w:szCs w:val="30"/>
        </w:rPr>
      </w:pPr>
    </w:p>
    <w:p w:rsidR="00172873" w:rsidRDefault="00172873" w:rsidP="008E1024">
      <w:pPr>
        <w:spacing w:line="560" w:lineRule="exact"/>
        <w:jc w:val="right"/>
        <w:rPr>
          <w:rFonts w:ascii="仿宋" w:eastAsia="仿宋" w:hAnsi="仿宋"/>
          <w:sz w:val="30"/>
          <w:szCs w:val="30"/>
        </w:rPr>
      </w:pPr>
      <w:r>
        <w:rPr>
          <w:rFonts w:ascii="仿宋" w:eastAsia="仿宋" w:hAnsi="仿宋" w:hint="eastAsia"/>
          <w:sz w:val="30"/>
          <w:szCs w:val="30"/>
        </w:rPr>
        <w:t>浙江泽厚律师事务所</w:t>
      </w:r>
      <w:r>
        <w:rPr>
          <w:rFonts w:ascii="仿宋" w:eastAsia="仿宋" w:hAnsi="仿宋"/>
          <w:sz w:val="30"/>
          <w:szCs w:val="30"/>
        </w:rPr>
        <w:t xml:space="preserve">    </w:t>
      </w:r>
    </w:p>
    <w:p w:rsidR="00172873" w:rsidRDefault="00172873" w:rsidP="008E1024">
      <w:pPr>
        <w:spacing w:line="560" w:lineRule="exact"/>
        <w:jc w:val="right"/>
        <w:rPr>
          <w:rFonts w:ascii="仿宋" w:eastAsia="仿宋" w:hAnsi="仿宋"/>
          <w:sz w:val="30"/>
          <w:szCs w:val="30"/>
        </w:rPr>
      </w:pPr>
      <w:r>
        <w:rPr>
          <w:rFonts w:ascii="仿宋" w:eastAsia="仿宋" w:hAnsi="仿宋" w:hint="eastAsia"/>
          <w:sz w:val="30"/>
          <w:szCs w:val="30"/>
        </w:rPr>
        <w:t>曾碧佳</w:t>
      </w:r>
      <w:r>
        <w:rPr>
          <w:rFonts w:ascii="仿宋" w:eastAsia="仿宋" w:hAnsi="仿宋"/>
          <w:sz w:val="30"/>
          <w:szCs w:val="30"/>
        </w:rPr>
        <w:t xml:space="preserve">   </w:t>
      </w:r>
    </w:p>
    <w:p w:rsidR="00172873" w:rsidRPr="00AE0F87" w:rsidRDefault="00172873" w:rsidP="008E1024">
      <w:pPr>
        <w:spacing w:line="560" w:lineRule="exact"/>
        <w:jc w:val="right"/>
        <w:rPr>
          <w:rFonts w:ascii="仿宋" w:eastAsia="仿宋" w:hAnsi="仿宋"/>
          <w:sz w:val="30"/>
          <w:szCs w:val="30"/>
        </w:rPr>
      </w:pPr>
      <w:r>
        <w:rPr>
          <w:rFonts w:ascii="仿宋" w:eastAsia="仿宋" w:hAnsi="仿宋"/>
          <w:sz w:val="30"/>
          <w:szCs w:val="30"/>
        </w:rPr>
        <w:t>13958039119</w:t>
      </w:r>
    </w:p>
    <w:sectPr w:rsidR="00172873" w:rsidRPr="00AE0F87" w:rsidSect="004E343D">
      <w:footerReference w:type="default" r:id="rId6"/>
      <w:pgSz w:w="11906" w:h="16838"/>
      <w:pgMar w:top="1531" w:right="1531" w:bottom="1418" w:left="1701"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172873" w:rsidRDefault="00172873">
      <w:r>
        <w:separator/>
      </w:r>
    </w:p>
  </w:endnote>
  <w:endnote w:type="continuationSeparator" w:id="1">
    <w:p w:rsidR="00172873" w:rsidRDefault="00172873">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A00002EF" w:usb1="4000004B"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72873" w:rsidRDefault="00172873" w:rsidP="00AD0E55">
    <w:pPr>
      <w:pStyle w:val="Footer"/>
      <w:jc w:val="center"/>
    </w:pPr>
    <w:r>
      <w:rPr>
        <w:rFonts w:hint="eastAsia"/>
        <w:kern w:val="0"/>
        <w:szCs w:val="21"/>
      </w:rPr>
      <w:t>第</w:t>
    </w:r>
    <w:r>
      <w:rPr>
        <w:kern w:val="0"/>
        <w:szCs w:val="21"/>
      </w:rPr>
      <w:t xml:space="preserve"> </w:t>
    </w:r>
    <w:r>
      <w:rPr>
        <w:kern w:val="0"/>
        <w:szCs w:val="21"/>
      </w:rPr>
      <w:fldChar w:fldCharType="begin"/>
    </w:r>
    <w:r>
      <w:rPr>
        <w:kern w:val="0"/>
        <w:szCs w:val="21"/>
      </w:rPr>
      <w:instrText xml:space="preserve"> PAGE </w:instrText>
    </w:r>
    <w:r>
      <w:rPr>
        <w:kern w:val="0"/>
        <w:szCs w:val="21"/>
      </w:rPr>
      <w:fldChar w:fldCharType="separate"/>
    </w:r>
    <w:r>
      <w:rPr>
        <w:noProof/>
        <w:kern w:val="0"/>
        <w:szCs w:val="21"/>
      </w:rPr>
      <w:t>1</w:t>
    </w:r>
    <w:r>
      <w:rPr>
        <w:kern w:val="0"/>
        <w:szCs w:val="21"/>
      </w:rPr>
      <w:fldChar w:fldCharType="end"/>
    </w:r>
    <w:r>
      <w:rPr>
        <w:kern w:val="0"/>
        <w:szCs w:val="21"/>
      </w:rPr>
      <w:t xml:space="preserve"> </w:t>
    </w:r>
    <w:r>
      <w:rPr>
        <w:rFonts w:hint="eastAsia"/>
        <w:kern w:val="0"/>
        <w:szCs w:val="21"/>
      </w:rPr>
      <w:t>页</w:t>
    </w:r>
    <w:r>
      <w:rPr>
        <w:kern w:val="0"/>
        <w:szCs w:val="21"/>
      </w:rPr>
      <w:t xml:space="preserve"> </w:t>
    </w:r>
    <w:r>
      <w:rPr>
        <w:rFonts w:hint="eastAsia"/>
        <w:kern w:val="0"/>
        <w:szCs w:val="21"/>
      </w:rPr>
      <w:t>共</w:t>
    </w:r>
    <w:r>
      <w:rPr>
        <w:kern w:val="0"/>
        <w:szCs w:val="21"/>
      </w:rPr>
      <w:t xml:space="preserve"> </w:t>
    </w:r>
    <w:r>
      <w:rPr>
        <w:kern w:val="0"/>
        <w:szCs w:val="21"/>
      </w:rPr>
      <w:fldChar w:fldCharType="begin"/>
    </w:r>
    <w:r>
      <w:rPr>
        <w:kern w:val="0"/>
        <w:szCs w:val="21"/>
      </w:rPr>
      <w:instrText xml:space="preserve"> NUMPAGES </w:instrText>
    </w:r>
    <w:r>
      <w:rPr>
        <w:kern w:val="0"/>
        <w:szCs w:val="21"/>
      </w:rPr>
      <w:fldChar w:fldCharType="separate"/>
    </w:r>
    <w:r>
      <w:rPr>
        <w:noProof/>
        <w:kern w:val="0"/>
        <w:szCs w:val="21"/>
      </w:rPr>
      <w:t>7</w:t>
    </w:r>
    <w:r>
      <w:rPr>
        <w:kern w:val="0"/>
        <w:szCs w:val="21"/>
      </w:rPr>
      <w:fldChar w:fldCharType="end"/>
    </w:r>
    <w:r>
      <w:rPr>
        <w:kern w:val="0"/>
        <w:szCs w:val="21"/>
      </w:rPr>
      <w:t xml:space="preserve"> </w:t>
    </w:r>
    <w:r>
      <w:rPr>
        <w:rFonts w:hint="eastAsia"/>
        <w:kern w:val="0"/>
        <w:szCs w:val="21"/>
      </w:rPr>
      <w:t>页</w: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172873" w:rsidRDefault="00172873">
      <w:r>
        <w:separator/>
      </w:r>
    </w:p>
  </w:footnote>
  <w:footnote w:type="continuationSeparator" w:id="1">
    <w:p w:rsidR="00172873" w:rsidRDefault="00172873">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noLineBreaksAfter w:lang="zh-CN" w:val="$([{£¥·‘“〈《「『【〔〖〝﹙﹛﹝＄（．［｛￡￥"/>
  <w:noLineBreaksBefore w:lang="zh-CN" w:val="!%),.:;&gt;?]}¢¨°·ˇˉ―‖’”…‰′″›℃∶、。〃〉》」』】〕〗〞︶︺︾﹀﹄﹚﹜﹞！＂％＇），．：；？］｀｜｝～￠"/>
  <w:footnotePr>
    <w:footnote w:id="0"/>
    <w:footnote w:id="1"/>
  </w:footnotePr>
  <w:endnotePr>
    <w:endnote w:id="0"/>
    <w:endnote w:id="1"/>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925B0B"/>
    <w:rsid w:val="000163B1"/>
    <w:rsid w:val="00027F59"/>
    <w:rsid w:val="00034131"/>
    <w:rsid w:val="000401F0"/>
    <w:rsid w:val="00040B00"/>
    <w:rsid w:val="00045996"/>
    <w:rsid w:val="00046172"/>
    <w:rsid w:val="000511FE"/>
    <w:rsid w:val="00054B11"/>
    <w:rsid w:val="00080B60"/>
    <w:rsid w:val="000D545C"/>
    <w:rsid w:val="000E3945"/>
    <w:rsid w:val="000E4865"/>
    <w:rsid w:val="00112B7D"/>
    <w:rsid w:val="0011657F"/>
    <w:rsid w:val="00121976"/>
    <w:rsid w:val="0013092D"/>
    <w:rsid w:val="001516B5"/>
    <w:rsid w:val="00172873"/>
    <w:rsid w:val="00175866"/>
    <w:rsid w:val="001B1DB8"/>
    <w:rsid w:val="001C08FA"/>
    <w:rsid w:val="001C0F24"/>
    <w:rsid w:val="001F3CD1"/>
    <w:rsid w:val="0020399E"/>
    <w:rsid w:val="00203A27"/>
    <w:rsid w:val="002405A1"/>
    <w:rsid w:val="00257045"/>
    <w:rsid w:val="00265CE5"/>
    <w:rsid w:val="00266A1D"/>
    <w:rsid w:val="002757B8"/>
    <w:rsid w:val="00280EC7"/>
    <w:rsid w:val="002826D7"/>
    <w:rsid w:val="002858EA"/>
    <w:rsid w:val="00297513"/>
    <w:rsid w:val="002A1CB9"/>
    <w:rsid w:val="002C5144"/>
    <w:rsid w:val="002E1CDF"/>
    <w:rsid w:val="002F6288"/>
    <w:rsid w:val="00302AD2"/>
    <w:rsid w:val="00305CD8"/>
    <w:rsid w:val="00312678"/>
    <w:rsid w:val="0031622E"/>
    <w:rsid w:val="003254F0"/>
    <w:rsid w:val="0032550A"/>
    <w:rsid w:val="00335922"/>
    <w:rsid w:val="00346C9B"/>
    <w:rsid w:val="003679CD"/>
    <w:rsid w:val="003721DB"/>
    <w:rsid w:val="003729FA"/>
    <w:rsid w:val="00385539"/>
    <w:rsid w:val="00391D96"/>
    <w:rsid w:val="00394687"/>
    <w:rsid w:val="00397912"/>
    <w:rsid w:val="003B3704"/>
    <w:rsid w:val="003C12D4"/>
    <w:rsid w:val="003D1071"/>
    <w:rsid w:val="00412891"/>
    <w:rsid w:val="00422B53"/>
    <w:rsid w:val="00432C3E"/>
    <w:rsid w:val="00447834"/>
    <w:rsid w:val="00450A5E"/>
    <w:rsid w:val="004517A2"/>
    <w:rsid w:val="00455BA8"/>
    <w:rsid w:val="00455D62"/>
    <w:rsid w:val="00486592"/>
    <w:rsid w:val="004A3C37"/>
    <w:rsid w:val="004A6F59"/>
    <w:rsid w:val="004D3491"/>
    <w:rsid w:val="004D7E16"/>
    <w:rsid w:val="004E343D"/>
    <w:rsid w:val="004F7E84"/>
    <w:rsid w:val="00500D59"/>
    <w:rsid w:val="005066D5"/>
    <w:rsid w:val="005150A0"/>
    <w:rsid w:val="00515605"/>
    <w:rsid w:val="005216AD"/>
    <w:rsid w:val="005217C7"/>
    <w:rsid w:val="00522EFB"/>
    <w:rsid w:val="00534EEF"/>
    <w:rsid w:val="00556004"/>
    <w:rsid w:val="00560584"/>
    <w:rsid w:val="00564026"/>
    <w:rsid w:val="00566717"/>
    <w:rsid w:val="00592EE9"/>
    <w:rsid w:val="005A0177"/>
    <w:rsid w:val="005A6957"/>
    <w:rsid w:val="005A75F4"/>
    <w:rsid w:val="005C2DB0"/>
    <w:rsid w:val="005D79A0"/>
    <w:rsid w:val="005F1E9A"/>
    <w:rsid w:val="00600541"/>
    <w:rsid w:val="00610D34"/>
    <w:rsid w:val="00622113"/>
    <w:rsid w:val="0063376C"/>
    <w:rsid w:val="00652956"/>
    <w:rsid w:val="00657C61"/>
    <w:rsid w:val="00664A1C"/>
    <w:rsid w:val="00671613"/>
    <w:rsid w:val="00685FE6"/>
    <w:rsid w:val="00686063"/>
    <w:rsid w:val="006C7642"/>
    <w:rsid w:val="006E2C0C"/>
    <w:rsid w:val="006E60CA"/>
    <w:rsid w:val="006E7747"/>
    <w:rsid w:val="006F1E03"/>
    <w:rsid w:val="006F4370"/>
    <w:rsid w:val="00714A9B"/>
    <w:rsid w:val="00720B0F"/>
    <w:rsid w:val="007243DA"/>
    <w:rsid w:val="00726900"/>
    <w:rsid w:val="00734D18"/>
    <w:rsid w:val="00740944"/>
    <w:rsid w:val="00741988"/>
    <w:rsid w:val="0075374C"/>
    <w:rsid w:val="00754F31"/>
    <w:rsid w:val="00775F68"/>
    <w:rsid w:val="007963DC"/>
    <w:rsid w:val="007A24EE"/>
    <w:rsid w:val="007B22F8"/>
    <w:rsid w:val="007D4447"/>
    <w:rsid w:val="007E79F0"/>
    <w:rsid w:val="007F1F35"/>
    <w:rsid w:val="007F2758"/>
    <w:rsid w:val="00802223"/>
    <w:rsid w:val="0081195D"/>
    <w:rsid w:val="008160C5"/>
    <w:rsid w:val="008337E1"/>
    <w:rsid w:val="008379DC"/>
    <w:rsid w:val="008668CE"/>
    <w:rsid w:val="00867C1E"/>
    <w:rsid w:val="00873B6B"/>
    <w:rsid w:val="00877D40"/>
    <w:rsid w:val="00887C01"/>
    <w:rsid w:val="008A181F"/>
    <w:rsid w:val="008D7A9D"/>
    <w:rsid w:val="008E1024"/>
    <w:rsid w:val="008E3127"/>
    <w:rsid w:val="008F077C"/>
    <w:rsid w:val="008F2506"/>
    <w:rsid w:val="0091400C"/>
    <w:rsid w:val="0092184D"/>
    <w:rsid w:val="00923CDB"/>
    <w:rsid w:val="009254AC"/>
    <w:rsid w:val="00925B0B"/>
    <w:rsid w:val="00930C24"/>
    <w:rsid w:val="00937FA4"/>
    <w:rsid w:val="0094463D"/>
    <w:rsid w:val="00962196"/>
    <w:rsid w:val="009A1B62"/>
    <w:rsid w:val="009B62FB"/>
    <w:rsid w:val="009B76C3"/>
    <w:rsid w:val="009C1EB4"/>
    <w:rsid w:val="009C558D"/>
    <w:rsid w:val="009D02CF"/>
    <w:rsid w:val="009D7A47"/>
    <w:rsid w:val="009E2B7F"/>
    <w:rsid w:val="009E5744"/>
    <w:rsid w:val="00A03FA4"/>
    <w:rsid w:val="00A04AE9"/>
    <w:rsid w:val="00A1337B"/>
    <w:rsid w:val="00A31302"/>
    <w:rsid w:val="00A33720"/>
    <w:rsid w:val="00A42382"/>
    <w:rsid w:val="00A445F0"/>
    <w:rsid w:val="00A715C9"/>
    <w:rsid w:val="00A73CCC"/>
    <w:rsid w:val="00A82C28"/>
    <w:rsid w:val="00A852C3"/>
    <w:rsid w:val="00A911BD"/>
    <w:rsid w:val="00A95BE7"/>
    <w:rsid w:val="00AA080C"/>
    <w:rsid w:val="00AA0C57"/>
    <w:rsid w:val="00AB5F05"/>
    <w:rsid w:val="00AD0E55"/>
    <w:rsid w:val="00AD2EE0"/>
    <w:rsid w:val="00AE0F87"/>
    <w:rsid w:val="00AE6896"/>
    <w:rsid w:val="00AF10A3"/>
    <w:rsid w:val="00B00699"/>
    <w:rsid w:val="00B03431"/>
    <w:rsid w:val="00B051CD"/>
    <w:rsid w:val="00B06E53"/>
    <w:rsid w:val="00B4296F"/>
    <w:rsid w:val="00B438C6"/>
    <w:rsid w:val="00B472B4"/>
    <w:rsid w:val="00B60F5C"/>
    <w:rsid w:val="00B841E9"/>
    <w:rsid w:val="00BC2125"/>
    <w:rsid w:val="00BC3BA4"/>
    <w:rsid w:val="00BD4831"/>
    <w:rsid w:val="00BE728E"/>
    <w:rsid w:val="00BE7FDC"/>
    <w:rsid w:val="00BF5357"/>
    <w:rsid w:val="00C00340"/>
    <w:rsid w:val="00C05E66"/>
    <w:rsid w:val="00C105E5"/>
    <w:rsid w:val="00C442FE"/>
    <w:rsid w:val="00C533F7"/>
    <w:rsid w:val="00C708BF"/>
    <w:rsid w:val="00C72B90"/>
    <w:rsid w:val="00C7602D"/>
    <w:rsid w:val="00C761D1"/>
    <w:rsid w:val="00C94C1B"/>
    <w:rsid w:val="00CA43A7"/>
    <w:rsid w:val="00CA7234"/>
    <w:rsid w:val="00CB357C"/>
    <w:rsid w:val="00CC5787"/>
    <w:rsid w:val="00CC7F2D"/>
    <w:rsid w:val="00CD3061"/>
    <w:rsid w:val="00CD4D66"/>
    <w:rsid w:val="00CD6B8F"/>
    <w:rsid w:val="00CD7C1D"/>
    <w:rsid w:val="00CF166B"/>
    <w:rsid w:val="00D010DC"/>
    <w:rsid w:val="00D16195"/>
    <w:rsid w:val="00D2184A"/>
    <w:rsid w:val="00D23809"/>
    <w:rsid w:val="00D26AA4"/>
    <w:rsid w:val="00D325DC"/>
    <w:rsid w:val="00D35318"/>
    <w:rsid w:val="00D61043"/>
    <w:rsid w:val="00D64808"/>
    <w:rsid w:val="00D716B3"/>
    <w:rsid w:val="00D845FB"/>
    <w:rsid w:val="00DA3F0B"/>
    <w:rsid w:val="00DB58E1"/>
    <w:rsid w:val="00DD2F50"/>
    <w:rsid w:val="00DE1B69"/>
    <w:rsid w:val="00DE262E"/>
    <w:rsid w:val="00E001FB"/>
    <w:rsid w:val="00E0394B"/>
    <w:rsid w:val="00E061D2"/>
    <w:rsid w:val="00E129A4"/>
    <w:rsid w:val="00E24AC2"/>
    <w:rsid w:val="00E404D5"/>
    <w:rsid w:val="00E46976"/>
    <w:rsid w:val="00E51285"/>
    <w:rsid w:val="00E51585"/>
    <w:rsid w:val="00E624E8"/>
    <w:rsid w:val="00E6492B"/>
    <w:rsid w:val="00EA5FB8"/>
    <w:rsid w:val="00EC6CDA"/>
    <w:rsid w:val="00ED485B"/>
    <w:rsid w:val="00ED7CC8"/>
    <w:rsid w:val="00EE1F00"/>
    <w:rsid w:val="00EF0FB0"/>
    <w:rsid w:val="00EF1254"/>
    <w:rsid w:val="00EF1644"/>
    <w:rsid w:val="00F34E14"/>
    <w:rsid w:val="00F510A8"/>
    <w:rsid w:val="00F673EB"/>
    <w:rsid w:val="00F815AA"/>
    <w:rsid w:val="00F82FEB"/>
    <w:rsid w:val="00FB363F"/>
    <w:rsid w:val="00FD1D51"/>
    <w:rsid w:val="00FE1DDC"/>
  </w:rsids>
  <m:mathPr>
    <m:mathFont m:val="Cambria Math"/>
    <m:brkBin m:val="before"/>
    <m:brkBinSub m:val="--"/>
    <m:smallFrac m:val="off"/>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宋体" w:hAnsi="Calibri" w:cs="Times New Roman"/>
        <w:kern w:val="2"/>
        <w:sz w:val="21"/>
        <w:szCs w:val="22"/>
        <w:lang w:val="en-US" w:eastAsia="zh-CN"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E5744"/>
    <w:pPr>
      <w:widowControl w:val="0"/>
      <w:jc w:val="both"/>
    </w:p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rsid w:val="00C72B90"/>
    <w:pPr>
      <w:widowControl/>
      <w:jc w:val="left"/>
    </w:pPr>
    <w:rPr>
      <w:rFonts w:ascii="宋体" w:hAnsi="宋体" w:cs="宋体"/>
      <w:kern w:val="0"/>
      <w:sz w:val="24"/>
      <w:szCs w:val="24"/>
    </w:rPr>
  </w:style>
  <w:style w:type="paragraph" w:styleId="Header">
    <w:name w:val="header"/>
    <w:basedOn w:val="Normal"/>
    <w:link w:val="HeaderChar"/>
    <w:uiPriority w:val="99"/>
    <w:rsid w:val="00AD0E55"/>
    <w:pPr>
      <w:pBdr>
        <w:bottom w:val="single" w:sz="6" w:space="1" w:color="auto"/>
      </w:pBdr>
      <w:tabs>
        <w:tab w:val="center" w:pos="4153"/>
        <w:tab w:val="right" w:pos="8306"/>
      </w:tabs>
      <w:snapToGrid w:val="0"/>
      <w:jc w:val="center"/>
    </w:pPr>
    <w:rPr>
      <w:sz w:val="18"/>
      <w:szCs w:val="18"/>
    </w:rPr>
  </w:style>
  <w:style w:type="character" w:customStyle="1" w:styleId="HeaderChar">
    <w:name w:val="Header Char"/>
    <w:basedOn w:val="DefaultParagraphFont"/>
    <w:link w:val="Header"/>
    <w:uiPriority w:val="99"/>
    <w:semiHidden/>
    <w:rsid w:val="0020190A"/>
    <w:rPr>
      <w:sz w:val="18"/>
      <w:szCs w:val="18"/>
    </w:rPr>
  </w:style>
  <w:style w:type="paragraph" w:styleId="Footer">
    <w:name w:val="footer"/>
    <w:basedOn w:val="Normal"/>
    <w:link w:val="FooterChar"/>
    <w:uiPriority w:val="99"/>
    <w:rsid w:val="00AD0E55"/>
    <w:pPr>
      <w:tabs>
        <w:tab w:val="center" w:pos="4153"/>
        <w:tab w:val="right" w:pos="8306"/>
      </w:tabs>
      <w:snapToGrid w:val="0"/>
      <w:jc w:val="left"/>
    </w:pPr>
    <w:rPr>
      <w:sz w:val="18"/>
      <w:szCs w:val="18"/>
    </w:rPr>
  </w:style>
  <w:style w:type="character" w:customStyle="1" w:styleId="FooterChar">
    <w:name w:val="Footer Char"/>
    <w:basedOn w:val="DefaultParagraphFont"/>
    <w:link w:val="Footer"/>
    <w:uiPriority w:val="99"/>
    <w:semiHidden/>
    <w:rsid w:val="0020190A"/>
    <w:rPr>
      <w:sz w:val="18"/>
      <w:szCs w:val="18"/>
    </w:rPr>
  </w:style>
  <w:style w:type="paragraph" w:styleId="BalloonText">
    <w:name w:val="Balloon Text"/>
    <w:basedOn w:val="Normal"/>
    <w:link w:val="BalloonTextChar"/>
    <w:uiPriority w:val="99"/>
    <w:semiHidden/>
    <w:rsid w:val="00500D59"/>
    <w:rPr>
      <w:sz w:val="18"/>
      <w:szCs w:val="18"/>
    </w:rPr>
  </w:style>
  <w:style w:type="character" w:customStyle="1" w:styleId="BalloonTextChar">
    <w:name w:val="Balloon Text Char"/>
    <w:basedOn w:val="DefaultParagraphFont"/>
    <w:link w:val="BalloonText"/>
    <w:uiPriority w:val="99"/>
    <w:semiHidden/>
    <w:rsid w:val="0020190A"/>
    <w:rPr>
      <w:sz w:val="0"/>
      <w:szCs w:val="0"/>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CCE8C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Normal_Wordconv.dotm</Template>
  <TotalTime>964</TotalTime>
  <Pages>7</Pages>
  <Words>611</Words>
  <Characters>3483</Characters>
  <Application>Microsoft Office Outlook</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lenovo</dc:creator>
  <cp:keywords/>
  <dc:description/>
  <cp:lastModifiedBy>asus</cp:lastModifiedBy>
  <cp:revision>442</cp:revision>
  <cp:lastPrinted>2013-05-15T05:42:00Z</cp:lastPrinted>
  <dcterms:created xsi:type="dcterms:W3CDTF">2013-04-24T06:31:00Z</dcterms:created>
  <dcterms:modified xsi:type="dcterms:W3CDTF">2013-05-15T05:42:00Z</dcterms:modified>
</cp:coreProperties>
</file>